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D" w:rsidRPr="003D103D" w:rsidRDefault="008F1B62" w:rsidP="008F1B62">
      <w:pPr>
        <w:pStyle w:val="ConsPlusNormal"/>
        <w:tabs>
          <w:tab w:val="left" w:pos="6237"/>
        </w:tabs>
        <w:ind w:left="6237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A7216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2264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63E33">
        <w:rPr>
          <w:rFonts w:ascii="Times New Roman" w:hAnsi="Times New Roman" w:cs="Times New Roman"/>
          <w:sz w:val="28"/>
          <w:szCs w:val="28"/>
        </w:rPr>
        <w:t>ФНС России</w:t>
      </w:r>
      <w:r w:rsidR="00E22645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C63E33">
        <w:rPr>
          <w:rFonts w:ascii="Times New Roman" w:hAnsi="Times New Roman" w:cs="Times New Roman"/>
          <w:sz w:val="28"/>
          <w:szCs w:val="28"/>
        </w:rPr>
        <w:t xml:space="preserve"> по федеральному государственному контролю (надзору) </w:t>
      </w:r>
    </w:p>
    <w:p w:rsidR="003D103D" w:rsidRPr="00C63E33" w:rsidRDefault="00AE7690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3D103D"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103D"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0A1DC0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 xml:space="preserve">подготовлен во исполнение части 2 статьи 47 Федерального закона от 31 июля 2020 года № 248-ФЗ «О государственном контроле (надзоре)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="00BB0D5C" w:rsidRPr="00745C34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BA2121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A212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45C34">
        <w:rPr>
          <w:rFonts w:ascii="Times New Roman" w:hAnsi="Times New Roman" w:cs="Times New Roman"/>
          <w:sz w:val="28"/>
          <w:szCs w:val="28"/>
        </w:rPr>
        <w:t>ФНС России</w:t>
      </w:r>
      <w:r w:rsidR="00BA2121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</w:t>
      </w:r>
      <w:proofErr w:type="gramEnd"/>
      <w:r w:rsidR="00AE7690" w:rsidRPr="00745C34">
        <w:rPr>
          <w:rFonts w:ascii="Times New Roman" w:hAnsi="Times New Roman" w:cs="Times New Roman"/>
          <w:sz w:val="28"/>
          <w:szCs w:val="28"/>
        </w:rPr>
        <w:t xml:space="preserve">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49" w:rsidRPr="002E6D49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="00E226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E6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Pr="002E6D4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8E39C6">
        <w:rPr>
          <w:rFonts w:ascii="Times New Roman" w:hAnsi="Times New Roman" w:cs="Times New Roman"/>
          <w:sz w:val="28"/>
          <w:szCs w:val="28"/>
        </w:rPr>
        <w:t>324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25CC1">
        <w:rPr>
          <w:rFonts w:ascii="Times New Roman" w:hAnsi="Times New Roman" w:cs="Times New Roman"/>
          <w:sz w:val="28"/>
          <w:szCs w:val="28"/>
        </w:rPr>
        <w:t>ки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применения контрольно-кассовой техники</w:t>
      </w:r>
      <w:r w:rsidR="003C26DA">
        <w:rPr>
          <w:rFonts w:ascii="Times New Roman" w:hAnsi="Times New Roman" w:cs="Times New Roman"/>
          <w:sz w:val="28"/>
          <w:szCs w:val="28"/>
        </w:rPr>
        <w:t>.</w:t>
      </w:r>
    </w:p>
    <w:p w:rsidR="00AF6CAE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8E39C6">
        <w:rPr>
          <w:rFonts w:ascii="Times New Roman" w:hAnsi="Times New Roman" w:cs="Times New Roman"/>
          <w:sz w:val="28"/>
          <w:szCs w:val="28"/>
        </w:rPr>
        <w:t xml:space="preserve">322 </w:t>
      </w:r>
      <w:r w:rsidRPr="002E6D49">
        <w:rPr>
          <w:rFonts w:ascii="Times New Roman" w:hAnsi="Times New Roman" w:cs="Times New Roman"/>
          <w:sz w:val="28"/>
          <w:szCs w:val="28"/>
        </w:rPr>
        <w:t>нарушени</w:t>
      </w:r>
      <w:r w:rsidR="00725CC1">
        <w:rPr>
          <w:rFonts w:ascii="Times New Roman" w:hAnsi="Times New Roman" w:cs="Times New Roman"/>
          <w:sz w:val="28"/>
          <w:szCs w:val="28"/>
        </w:rPr>
        <w:t>я</w:t>
      </w:r>
      <w:r w:rsidRPr="002E6D49">
        <w:rPr>
          <w:rFonts w:ascii="Times New Roman" w:hAnsi="Times New Roman" w:cs="Times New Roman"/>
          <w:sz w:val="28"/>
          <w:szCs w:val="28"/>
        </w:rPr>
        <w:t>. Результативность проведенных проверок</w:t>
      </w:r>
      <w:r w:rsidR="00B97944">
        <w:rPr>
          <w:rFonts w:ascii="Times New Roman" w:hAnsi="Times New Roman" w:cs="Times New Roman"/>
          <w:sz w:val="28"/>
          <w:szCs w:val="28"/>
        </w:rPr>
        <w:t xml:space="preserve"> за</w:t>
      </w:r>
      <w:r w:rsidR="00BA2121">
        <w:rPr>
          <w:rFonts w:ascii="Times New Roman" w:hAnsi="Times New Roman" w:cs="Times New Roman"/>
          <w:sz w:val="28"/>
          <w:szCs w:val="28"/>
        </w:rPr>
        <w:t xml:space="preserve"> </w:t>
      </w:r>
      <w:r w:rsidR="00B97944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E39C6">
        <w:rPr>
          <w:rFonts w:ascii="Times New Roman" w:hAnsi="Times New Roman" w:cs="Times New Roman"/>
          <w:sz w:val="28"/>
          <w:szCs w:val="28"/>
        </w:rPr>
        <w:t>99,38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39C6">
        <w:rPr>
          <w:rFonts w:ascii="Times New Roman" w:hAnsi="Times New Roman" w:cs="Times New Roman"/>
          <w:sz w:val="28"/>
          <w:szCs w:val="28"/>
        </w:rPr>
        <w:t>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="00813C4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13C44" w:rsidRPr="00745C34">
        <w:rPr>
          <w:rFonts w:ascii="Times New Roman" w:hAnsi="Times New Roman" w:cs="Times New Roman"/>
          <w:sz w:val="28"/>
          <w:szCs w:val="28"/>
        </w:rPr>
        <w:t>ФНС России</w:t>
      </w:r>
      <w:r w:rsidR="00813C44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</w:t>
      </w:r>
      <w:r w:rsidR="00813C44">
        <w:rPr>
          <w:rFonts w:ascii="Times New Roman" w:hAnsi="Times New Roman" w:cs="Times New Roman"/>
          <w:sz w:val="28"/>
          <w:szCs w:val="28"/>
        </w:rPr>
        <w:t>т</w:t>
      </w:r>
      <w:r w:rsidR="00252935">
        <w:rPr>
          <w:rFonts w:ascii="Times New Roman" w:hAnsi="Times New Roman" w:cs="Times New Roman"/>
          <w:sz w:val="28"/>
          <w:szCs w:val="28"/>
        </w:rPr>
        <w:t xml:space="preserve">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</w:t>
      </w:r>
      <w:r w:rsidR="001114DD">
        <w:rPr>
          <w:rFonts w:ascii="Times New Roman" w:hAnsi="Times New Roman" w:cs="Times New Roman"/>
          <w:sz w:val="28"/>
          <w:szCs w:val="28"/>
        </w:rPr>
        <w:t>и</w:t>
      </w:r>
      <w:r w:rsidR="001C4B89" w:rsidRPr="00745C34">
        <w:rPr>
          <w:rFonts w:ascii="Times New Roman" w:hAnsi="Times New Roman" w:cs="Times New Roman"/>
          <w:sz w:val="28"/>
          <w:szCs w:val="28"/>
        </w:rPr>
        <w:t xml:space="preserve">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13C44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>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1114DD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</w:t>
      </w:r>
      <w:r w:rsidR="001114DD">
        <w:rPr>
          <w:rFonts w:ascii="Times New Roman" w:hAnsi="Times New Roman" w:cs="Times New Roman"/>
          <w:sz w:val="28"/>
          <w:szCs w:val="28"/>
        </w:rPr>
        <w:t xml:space="preserve"> </w:t>
      </w:r>
      <w:r w:rsidR="00FA11C9" w:rsidRPr="00745C34">
        <w:rPr>
          <w:rFonts w:ascii="Times New Roman" w:hAnsi="Times New Roman" w:cs="Times New Roman"/>
          <w:sz w:val="28"/>
          <w:szCs w:val="28"/>
        </w:rPr>
        <w:t>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о соответствии модели фискального накопителя требованиям законодательства Российской Федерации о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>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lastRenderedPageBreak/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r w:rsidR="001114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состоянию на 31.12.2022 в налоговых органах</w:t>
      </w:r>
      <w:r w:rsidR="001114D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зарегистрировано более </w:t>
      </w:r>
      <w:r w:rsidR="00EB2709">
        <w:rPr>
          <w:rFonts w:ascii="Times New Roman" w:hAnsi="Times New Roman" w:cs="Times New Roman"/>
          <w:sz w:val="28"/>
          <w:szCs w:val="28"/>
        </w:rPr>
        <w:t>45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1114DD">
        <w:rPr>
          <w:rFonts w:ascii="Times New Roman" w:hAnsi="Times New Roman" w:cs="Times New Roman"/>
          <w:sz w:val="28"/>
          <w:szCs w:val="28"/>
        </w:rPr>
        <w:t>тыс</w:t>
      </w:r>
      <w:r w:rsidRPr="00745C34">
        <w:rPr>
          <w:rFonts w:ascii="Times New Roman" w:hAnsi="Times New Roman" w:cs="Times New Roman"/>
          <w:sz w:val="28"/>
          <w:szCs w:val="28"/>
        </w:rPr>
        <w:t xml:space="preserve">. единиц контрольно-кассовой техники (ККТ), </w:t>
      </w:r>
      <w:r w:rsidR="0097101B">
        <w:rPr>
          <w:rFonts w:ascii="Times New Roman" w:hAnsi="Times New Roman" w:cs="Times New Roman"/>
          <w:sz w:val="28"/>
          <w:szCs w:val="28"/>
        </w:rPr>
        <w:t xml:space="preserve">принадлежащей более </w:t>
      </w:r>
      <w:r w:rsidR="00EB2709">
        <w:rPr>
          <w:rFonts w:ascii="Times New Roman" w:hAnsi="Times New Roman" w:cs="Times New Roman"/>
          <w:sz w:val="28"/>
          <w:szCs w:val="28"/>
        </w:rPr>
        <w:t>20,3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1114DD">
        <w:rPr>
          <w:rFonts w:ascii="Times New Roman" w:hAnsi="Times New Roman" w:cs="Times New Roman"/>
          <w:sz w:val="28"/>
          <w:szCs w:val="28"/>
        </w:rPr>
        <w:t>тыс</w:t>
      </w:r>
      <w:r w:rsidRPr="00745C34">
        <w:rPr>
          <w:rFonts w:ascii="Times New Roman" w:hAnsi="Times New Roman" w:cs="Times New Roman"/>
          <w:sz w:val="28"/>
          <w:szCs w:val="28"/>
        </w:rPr>
        <w:t xml:space="preserve">. пользователям ККТ. </w:t>
      </w:r>
    </w:p>
    <w:p w:rsidR="00EB2709" w:rsidRDefault="00EB270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EB270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B2709" w:rsidRPr="00745C34">
        <w:rPr>
          <w:rFonts w:ascii="Times New Roman" w:hAnsi="Times New Roman" w:cs="Times New Roman"/>
          <w:sz w:val="28"/>
          <w:szCs w:val="28"/>
        </w:rPr>
        <w:t>ФНС России</w:t>
      </w:r>
      <w:r w:rsidR="00EB270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EB2709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EB2709">
        <w:rPr>
          <w:rFonts w:ascii="Times New Roman" w:hAnsi="Times New Roman" w:cs="Times New Roman"/>
          <w:sz w:val="28"/>
          <w:szCs w:val="28"/>
        </w:rPr>
        <w:t xml:space="preserve"> 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EB2709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B2709">
        <w:rPr>
          <w:rFonts w:ascii="Times New Roman" w:hAnsi="Times New Roman" w:cs="Times New Roman"/>
          <w:sz w:val="28"/>
          <w:szCs w:val="28"/>
        </w:rPr>
        <w:t xml:space="preserve"> </w:t>
      </w:r>
      <w:r w:rsidR="00F85435" w:rsidRPr="00745C34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EB270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</w:t>
      </w:r>
      <w:r w:rsidR="00EB2709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lastRenderedPageBreak/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</w:t>
      </w:r>
      <w:proofErr w:type="gramEnd"/>
      <w:r w:rsidR="004E3813" w:rsidRPr="004E3813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</w:t>
      </w:r>
      <w:r w:rsidR="00512BF1">
        <w:rPr>
          <w:rFonts w:ascii="Times New Roman" w:hAnsi="Times New Roman" w:cs="Times New Roman"/>
          <w:sz w:val="28"/>
          <w:szCs w:val="28"/>
        </w:rPr>
        <w:t>605 хозяйствующих субъектов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31D99">
        <w:rPr>
          <w:rFonts w:ascii="Times New Roman" w:hAnsi="Times New Roman" w:cs="Times New Roman"/>
          <w:sz w:val="28"/>
          <w:szCs w:val="28"/>
        </w:rPr>
        <w:t>42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</w:t>
      </w:r>
      <w:r w:rsidR="00DE7B2C">
        <w:rPr>
          <w:rFonts w:ascii="Times New Roman" w:hAnsi="Times New Roman" w:cs="Times New Roman"/>
          <w:sz w:val="28"/>
          <w:szCs w:val="28"/>
        </w:rPr>
        <w:t>ы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DE7B2C">
        <w:rPr>
          <w:rFonts w:ascii="Times New Roman" w:hAnsi="Times New Roman" w:cs="Times New Roman"/>
          <w:sz w:val="28"/>
          <w:szCs w:val="28"/>
        </w:rPr>
        <w:t>ые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DE7B2C">
        <w:rPr>
          <w:rFonts w:ascii="Times New Roman" w:hAnsi="Times New Roman" w:cs="Times New Roman"/>
          <w:sz w:val="28"/>
          <w:szCs w:val="28"/>
        </w:rPr>
        <w:t>и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 соответствии с частью 7 статьи 75 Федерального закона № 248-ФЗ.</w:t>
      </w:r>
    </w:p>
    <w:p w:rsidR="001E211B" w:rsidRPr="00745C34" w:rsidRDefault="007900A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2022 году контрольно-надзорных мероприятий в отношении подконтрольных субъектов должностными лицами налоговых органов составлено </w:t>
      </w:r>
      <w:r w:rsidR="00E4001C">
        <w:rPr>
          <w:rFonts w:ascii="Times New Roman" w:hAnsi="Times New Roman" w:cs="Times New Roman"/>
          <w:sz w:val="28"/>
          <w:szCs w:val="28"/>
        </w:rPr>
        <w:t>37</w:t>
      </w:r>
      <w:r w:rsidR="00342BA2">
        <w:rPr>
          <w:rFonts w:ascii="Times New Roman" w:hAnsi="Times New Roman" w:cs="Times New Roman"/>
          <w:sz w:val="28"/>
          <w:szCs w:val="28"/>
        </w:rPr>
        <w:t>7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правонарушениях: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E4001C">
        <w:rPr>
          <w:rFonts w:ascii="Times New Roman" w:hAnsi="Times New Roman" w:cs="Times New Roman"/>
          <w:sz w:val="28"/>
          <w:szCs w:val="28"/>
        </w:rPr>
        <w:t>257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неприменени</w:t>
      </w:r>
      <w:r w:rsidR="007900A2">
        <w:rPr>
          <w:rFonts w:ascii="Times New Roman" w:hAnsi="Times New Roman" w:cs="Times New Roman"/>
          <w:sz w:val="28"/>
          <w:szCs w:val="28"/>
        </w:rPr>
        <w:t>ем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законодательством Российской Федерации случаях;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E4001C">
        <w:rPr>
          <w:rFonts w:ascii="Times New Roman" w:hAnsi="Times New Roman" w:cs="Times New Roman"/>
          <w:sz w:val="28"/>
          <w:szCs w:val="28"/>
        </w:rPr>
        <w:t>116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применени</w:t>
      </w:r>
      <w:r w:rsidR="00CE1512">
        <w:rPr>
          <w:rFonts w:ascii="Times New Roman" w:hAnsi="Times New Roman" w:cs="Times New Roman"/>
          <w:sz w:val="28"/>
          <w:szCs w:val="28"/>
        </w:rPr>
        <w:t xml:space="preserve">ем </w:t>
      </w:r>
      <w:r w:rsidRPr="00745C34">
        <w:rPr>
          <w:rFonts w:ascii="Times New Roman" w:hAnsi="Times New Roman" w:cs="Times New Roman"/>
          <w:sz w:val="28"/>
          <w:szCs w:val="28"/>
        </w:rPr>
        <w:t xml:space="preserve">ККТ,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требованиям;</w:t>
      </w:r>
    </w:p>
    <w:p w:rsidR="00C8571C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342BA2">
        <w:rPr>
          <w:rFonts w:ascii="Times New Roman" w:hAnsi="Times New Roman" w:cs="Times New Roman"/>
          <w:sz w:val="28"/>
          <w:szCs w:val="28"/>
        </w:rPr>
        <w:t>4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4001C">
        <w:rPr>
          <w:rFonts w:ascii="Times New Roman" w:hAnsi="Times New Roman" w:cs="Times New Roman"/>
          <w:sz w:val="28"/>
          <w:szCs w:val="28"/>
        </w:rPr>
        <w:t>ях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BD69BD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CE1512">
        <w:rPr>
          <w:rFonts w:ascii="Times New Roman" w:hAnsi="Times New Roman" w:cs="Times New Roman"/>
          <w:sz w:val="28"/>
          <w:szCs w:val="28"/>
        </w:rPr>
        <w:t>связанн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="00CE1512">
        <w:rPr>
          <w:rFonts w:ascii="Times New Roman" w:hAnsi="Times New Roman" w:cs="Times New Roman"/>
          <w:sz w:val="28"/>
          <w:szCs w:val="28"/>
        </w:rPr>
        <w:t xml:space="preserve"> с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34">
        <w:rPr>
          <w:rFonts w:ascii="Times New Roman" w:hAnsi="Times New Roman" w:cs="Times New Roman"/>
          <w:sz w:val="28"/>
          <w:szCs w:val="28"/>
        </w:rPr>
        <w:t>ненаправлени</w:t>
      </w:r>
      <w:r w:rsidR="00CE1512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45C34">
        <w:rPr>
          <w:rFonts w:ascii="Times New Roman" w:hAnsi="Times New Roman" w:cs="Times New Roman"/>
          <w:sz w:val="28"/>
          <w:szCs w:val="28"/>
        </w:rPr>
        <w:t xml:space="preserve"> покупателю (клиенту) кассового чека в электронной форме.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административного производства к административной ответственности при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влечено </w:t>
      </w:r>
      <w:r w:rsidR="009A4B8C">
        <w:rPr>
          <w:rFonts w:ascii="Times New Roman" w:hAnsi="Times New Roman" w:cs="Times New Roman"/>
          <w:sz w:val="28"/>
          <w:szCs w:val="28"/>
        </w:rPr>
        <w:t>507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налогоплательщиков. 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9A4B8C">
        <w:rPr>
          <w:rFonts w:ascii="Times New Roman" w:hAnsi="Times New Roman" w:cs="Times New Roman"/>
          <w:sz w:val="28"/>
          <w:szCs w:val="28"/>
        </w:rPr>
        <w:t>258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 случаях налогоплательщики привлечены к административной ответственности в виде предупреждения.</w:t>
      </w:r>
      <w:r w:rsidR="00C107CE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9A4B8C">
        <w:rPr>
          <w:rFonts w:ascii="Times New Roman" w:hAnsi="Times New Roman" w:cs="Times New Roman"/>
          <w:sz w:val="28"/>
          <w:szCs w:val="28"/>
        </w:rPr>
        <w:t>247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EB7B04" w:rsidRPr="00EB7B04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="00EB7B04" w:rsidRPr="00D30CC9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 w:rsidR="00C107CE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на </w:t>
      </w:r>
      <w:r w:rsidR="00820058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A4B8C" w:rsidRPr="00891CD9">
        <w:rPr>
          <w:rFonts w:ascii="Times New Roman" w:hAnsi="Times New Roman" w:cs="Times New Roman"/>
          <w:sz w:val="28"/>
          <w:szCs w:val="28"/>
        </w:rPr>
        <w:t>12437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тыс. рублей.</w:t>
      </w:r>
    </w:p>
    <w:p w:rsidR="00782F9B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26202F" w:rsidRPr="00745C34">
        <w:rPr>
          <w:rFonts w:ascii="Times New Roman" w:hAnsi="Times New Roman" w:cs="Times New Roman"/>
          <w:sz w:val="28"/>
          <w:szCs w:val="28"/>
        </w:rPr>
        <w:t>в 2022 году территориальными налоговыми органами ФНС России пров</w:t>
      </w:r>
      <w:r w:rsidR="00793156">
        <w:rPr>
          <w:rFonts w:ascii="Times New Roman" w:hAnsi="Times New Roman" w:cs="Times New Roman"/>
          <w:sz w:val="28"/>
          <w:szCs w:val="28"/>
        </w:rPr>
        <w:t>о</w:t>
      </w:r>
      <w:r w:rsidR="0026202F" w:rsidRPr="00745C34">
        <w:rPr>
          <w:rFonts w:ascii="Times New Roman" w:hAnsi="Times New Roman" w:cs="Times New Roman"/>
          <w:sz w:val="28"/>
          <w:szCs w:val="28"/>
        </w:rPr>
        <w:t>д</w:t>
      </w:r>
      <w:r w:rsidR="00793156">
        <w:rPr>
          <w:rFonts w:ascii="Times New Roman" w:hAnsi="Times New Roman" w:cs="Times New Roman"/>
          <w:sz w:val="28"/>
          <w:szCs w:val="28"/>
        </w:rPr>
        <w:t>ились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793156">
        <w:rPr>
          <w:rFonts w:ascii="Times New Roman" w:hAnsi="Times New Roman" w:cs="Times New Roman"/>
          <w:sz w:val="28"/>
          <w:szCs w:val="28"/>
        </w:rPr>
        <w:t>я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</w:t>
      </w:r>
      <w:r w:rsidR="00793156">
        <w:rPr>
          <w:rFonts w:ascii="Times New Roman" w:hAnsi="Times New Roman" w:cs="Times New Roman"/>
          <w:sz w:val="28"/>
          <w:szCs w:val="28"/>
        </w:rPr>
        <w:t>, п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793156">
        <w:rPr>
          <w:rFonts w:ascii="Times New Roman" w:hAnsi="Times New Roman" w:cs="Times New Roman"/>
          <w:sz w:val="28"/>
          <w:szCs w:val="28"/>
        </w:rPr>
        <w:t>которых</w:t>
      </w:r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в связи с выявлением признаков нарушения обязательных требований законодательства Российской Федерации о применении контрольно-кассовой техники</w:t>
      </w:r>
      <w:r w:rsidR="00793156">
        <w:rPr>
          <w:rFonts w:ascii="Times New Roman" w:hAnsi="Times New Roman" w:cs="Times New Roman"/>
          <w:sz w:val="28"/>
          <w:szCs w:val="28"/>
        </w:rPr>
        <w:t xml:space="preserve"> 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793156">
        <w:rPr>
          <w:rFonts w:ascii="Times New Roman" w:hAnsi="Times New Roman" w:cs="Times New Roman"/>
          <w:sz w:val="28"/>
          <w:szCs w:val="28"/>
        </w:rPr>
        <w:t>1172</w:t>
      </w:r>
      <w:r w:rsidR="00B419B5" w:rsidRPr="00745C3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3156">
        <w:rPr>
          <w:rFonts w:ascii="Times New Roman" w:hAnsi="Times New Roman" w:cs="Times New Roman"/>
          <w:sz w:val="28"/>
          <w:szCs w:val="28"/>
        </w:rPr>
        <w:t>я</w:t>
      </w:r>
      <w:r w:rsidR="00B419B5" w:rsidRPr="00745C34">
        <w:rPr>
          <w:rFonts w:ascii="Times New Roman" w:hAnsi="Times New Roman" w:cs="Times New Roman"/>
          <w:sz w:val="28"/>
          <w:szCs w:val="28"/>
        </w:rPr>
        <w:t xml:space="preserve"> об объявлении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745C34">
        <w:rPr>
          <w:rFonts w:ascii="Times New Roman" w:hAnsi="Times New Roman" w:cs="Times New Roman"/>
          <w:sz w:val="28"/>
          <w:szCs w:val="28"/>
        </w:rPr>
        <w:t>р</w:t>
      </w:r>
      <w:r w:rsidR="00F85435" w:rsidRPr="00745C34">
        <w:rPr>
          <w:rFonts w:ascii="Times New Roman" w:hAnsi="Times New Roman" w:cs="Times New Roman"/>
          <w:sz w:val="28"/>
          <w:szCs w:val="28"/>
        </w:rPr>
        <w:t>ушения обязательных требований.</w:t>
      </w:r>
      <w:proofErr w:type="gramEnd"/>
      <w:r w:rsidR="00F85435" w:rsidRPr="00745C34">
        <w:rPr>
          <w:rFonts w:ascii="Times New Roman" w:hAnsi="Times New Roman" w:cs="Times New Roman"/>
          <w:sz w:val="28"/>
          <w:szCs w:val="28"/>
        </w:rPr>
        <w:t xml:space="preserve"> В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1</w:t>
      </w:r>
      <w:r w:rsidR="00BD6398">
        <w:rPr>
          <w:rFonts w:ascii="Times New Roman" w:hAnsi="Times New Roman" w:cs="Times New Roman"/>
          <w:sz w:val="28"/>
          <w:szCs w:val="28"/>
        </w:rPr>
        <w:t>5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C67470" w:rsidRPr="00745C34">
        <w:rPr>
          <w:rFonts w:ascii="Times New Roman" w:hAnsi="Times New Roman" w:cs="Times New Roman"/>
          <w:sz w:val="28"/>
          <w:szCs w:val="28"/>
        </w:rPr>
        <w:t>х (</w:t>
      </w:r>
      <w:r w:rsidR="00BD6398">
        <w:rPr>
          <w:rFonts w:ascii="Times New Roman" w:hAnsi="Times New Roman" w:cs="Times New Roman"/>
          <w:sz w:val="28"/>
          <w:szCs w:val="28"/>
        </w:rPr>
        <w:t>1</w:t>
      </w:r>
      <w:r w:rsidR="00C67470" w:rsidRPr="00745C34">
        <w:rPr>
          <w:rFonts w:ascii="Times New Roman" w:hAnsi="Times New Roman" w:cs="Times New Roman"/>
          <w:sz w:val="28"/>
          <w:szCs w:val="28"/>
        </w:rPr>
        <w:t>,</w:t>
      </w:r>
      <w:r w:rsidR="00BD6398">
        <w:rPr>
          <w:rFonts w:ascii="Times New Roman" w:hAnsi="Times New Roman" w:cs="Times New Roman"/>
          <w:sz w:val="28"/>
          <w:szCs w:val="28"/>
        </w:rPr>
        <w:t>3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% от общего числа вынесенных предостережений) </w:t>
      </w:r>
      <w:r w:rsidR="00C604C4" w:rsidRPr="00745C34">
        <w:rPr>
          <w:rFonts w:ascii="Times New Roman" w:hAnsi="Times New Roman" w:cs="Times New Roman"/>
          <w:sz w:val="28"/>
          <w:szCs w:val="28"/>
        </w:rPr>
        <w:t>получено возражени</w:t>
      </w:r>
      <w:r w:rsidR="00C67470" w:rsidRPr="00745C34">
        <w:rPr>
          <w:rFonts w:ascii="Times New Roman" w:hAnsi="Times New Roman" w:cs="Times New Roman"/>
          <w:sz w:val="28"/>
          <w:szCs w:val="28"/>
        </w:rPr>
        <w:t>е.</w:t>
      </w:r>
    </w:p>
    <w:p w:rsidR="00886FBE" w:rsidRPr="00745C34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E7115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проведен</w:t>
      </w:r>
      <w:r w:rsidR="00C5726E">
        <w:rPr>
          <w:rFonts w:ascii="Times New Roman" w:hAnsi="Times New Roman" w:cs="Times New Roman"/>
          <w:sz w:val="28"/>
          <w:szCs w:val="28"/>
        </w:rPr>
        <w:t>о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342BA2">
        <w:rPr>
          <w:rFonts w:ascii="Times New Roman" w:hAnsi="Times New Roman" w:cs="Times New Roman"/>
          <w:sz w:val="28"/>
          <w:szCs w:val="28"/>
        </w:rPr>
        <w:t>220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C5726E">
        <w:rPr>
          <w:rFonts w:ascii="Times New Roman" w:hAnsi="Times New Roman" w:cs="Times New Roman"/>
          <w:sz w:val="28"/>
          <w:szCs w:val="28"/>
        </w:rPr>
        <w:t>их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E7115A">
        <w:rPr>
          <w:rFonts w:ascii="Times New Roman" w:hAnsi="Times New Roman" w:cs="Times New Roman"/>
          <w:sz w:val="28"/>
          <w:szCs w:val="28"/>
        </w:rPr>
        <w:t>ов</w:t>
      </w:r>
      <w:r w:rsidR="00C5726E">
        <w:rPr>
          <w:rFonts w:ascii="Times New Roman" w:hAnsi="Times New Roman" w:cs="Times New Roman"/>
          <w:sz w:val="28"/>
          <w:szCs w:val="28"/>
        </w:rPr>
        <w:t xml:space="preserve"> в</w:t>
      </w:r>
      <w:r w:rsidR="00E7115A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</w:t>
      </w:r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r w:rsidR="00E7115A">
        <w:rPr>
          <w:rFonts w:ascii="Times New Roman" w:hAnsi="Times New Roman" w:cs="Times New Roman"/>
          <w:sz w:val="28"/>
          <w:szCs w:val="28"/>
        </w:rPr>
        <w:t xml:space="preserve"> В 19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случаях был получен отказ контролируемого лица от проведения профилактического визита.</w:t>
      </w:r>
    </w:p>
    <w:p w:rsidR="00083352" w:rsidRPr="00745C34" w:rsidRDefault="0079071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3352" w:rsidRPr="00745C34">
        <w:rPr>
          <w:rFonts w:ascii="Times New Roman" w:hAnsi="Times New Roman" w:cs="Times New Roman"/>
          <w:sz w:val="28"/>
          <w:szCs w:val="28"/>
        </w:rPr>
        <w:t xml:space="preserve">алоговыми органами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83352" w:rsidRPr="00745C34">
        <w:rPr>
          <w:rFonts w:ascii="Times New Roman" w:hAnsi="Times New Roman" w:cs="Times New Roman"/>
          <w:sz w:val="28"/>
          <w:szCs w:val="28"/>
        </w:rPr>
        <w:t xml:space="preserve"> в рамках профилактических мероприятий в целях информирования налогоплательщиков о нормах Федерального Закона № 54-ФЗ, мерах ответственности за их нарушения, а также порядке приведения в соответствие </w:t>
      </w:r>
      <w:proofErr w:type="gramStart"/>
      <w:r w:rsidR="00083352" w:rsidRPr="00745C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3352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352" w:rsidRPr="00745C34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="00083352" w:rsidRPr="00745C34">
        <w:rPr>
          <w:rFonts w:ascii="Times New Roman" w:hAnsi="Times New Roman" w:cs="Times New Roman"/>
          <w:sz w:val="28"/>
          <w:szCs w:val="28"/>
        </w:rPr>
        <w:t xml:space="preserve">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</w:p>
    <w:p w:rsidR="005F0EB0" w:rsidRDefault="00790718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Pr="00745C34">
        <w:rPr>
          <w:rFonts w:ascii="Times New Roman" w:hAnsi="Times New Roman" w:cs="Times New Roman"/>
          <w:sz w:val="28"/>
          <w:szCs w:val="28"/>
        </w:rPr>
        <w:t xml:space="preserve">алоговыми органами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3C67FD" w:rsidRPr="00745C34">
        <w:rPr>
          <w:rFonts w:ascii="Times New Roman" w:hAnsi="Times New Roman" w:cs="Times New Roman"/>
          <w:sz w:val="28"/>
          <w:szCs w:val="28"/>
        </w:rPr>
        <w:t>2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>о</w:t>
      </w:r>
      <w:r w:rsidR="00BC06C1"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1495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6C97" w:rsidRPr="00745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6C97"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253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</w:t>
      </w:r>
      <w:r w:rsidR="00FD33A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ФНС России</w:t>
      </w:r>
      <w:r w:rsidR="00FD33AC">
        <w:rPr>
          <w:rFonts w:ascii="Times New Roman" w:hAnsi="Times New Roman" w:cs="Times New Roman"/>
          <w:color w:val="000000"/>
          <w:sz w:val="28"/>
          <w:szCs w:val="28"/>
        </w:rPr>
        <w:t xml:space="preserve"> по Ленинградской области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3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считаем необходимым </w:t>
      </w:r>
      <w:proofErr w:type="gramStart"/>
      <w:r w:rsidR="00E37660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gramEnd"/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91CD9" w:rsidRPr="0025341D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28.02.2022 №272</w:t>
      </w:r>
      <w:r w:rsidR="00891CD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</w:t>
      </w:r>
      <w:r w:rsidR="00891CD9" w:rsidRPr="0025341D">
        <w:rPr>
          <w:rFonts w:ascii="Times New Roman" w:hAnsi="Times New Roman" w:cs="Times New Roman"/>
          <w:color w:val="000000"/>
          <w:sz w:val="28"/>
          <w:szCs w:val="28"/>
        </w:rPr>
        <w:t>федеральном государственном контроле (надзоре) за соблюдением законодательства о применении ККТ</w:t>
      </w:r>
      <w:r w:rsidR="00891CD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за полнотой учета выручки в организациях и у индивидуальных предпринимателей»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91CD9" w:rsidRPr="00891CD9" w:rsidRDefault="00891CD9" w:rsidP="00891CD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п.35 добавить возможность составлять 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>Акт контрольной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 xml:space="preserve"> 3-х дней с момента её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CD9" w:rsidRPr="00891CD9" w:rsidRDefault="00891CD9" w:rsidP="00891CD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п.14 и в п. 39 добавить 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>возможность вручения контролируемому лицу Предостережени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 недопустимости нарушений обязательных требований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 xml:space="preserve"> и Акт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закупки на бумажном носител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 xml:space="preserve"> нарочно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CD9" w:rsidRDefault="00891CD9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91CD9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D9" w:rsidRDefault="00891CD9" w:rsidP="00FA7CC7">
      <w:pPr>
        <w:spacing w:after="0" w:line="240" w:lineRule="auto"/>
      </w:pPr>
      <w:r>
        <w:separator/>
      </w:r>
    </w:p>
  </w:endnote>
  <w:endnote w:type="continuationSeparator" w:id="1">
    <w:p w:rsidR="00891CD9" w:rsidRDefault="00891CD9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D9" w:rsidRDefault="00891CD9" w:rsidP="00FA7CC7">
      <w:pPr>
        <w:spacing w:after="0" w:line="240" w:lineRule="auto"/>
      </w:pPr>
      <w:r>
        <w:separator/>
      </w:r>
    </w:p>
  </w:footnote>
  <w:footnote w:type="continuationSeparator" w:id="1">
    <w:p w:rsidR="00891CD9" w:rsidRDefault="00891CD9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891CD9" w:rsidRPr="00057856" w:rsidRDefault="00891CD9" w:rsidP="00BA7216">
        <w:pPr>
          <w:pStyle w:val="a8"/>
          <w:jc w:val="center"/>
        </w:pPr>
        <w:fldSimple w:instr="PAGE   \* MERGEFORMAT">
          <w:r w:rsidR="00DE7B2C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8464D5A"/>
    <w:multiLevelType w:val="hybridMultilevel"/>
    <w:tmpl w:val="08F28E78"/>
    <w:lvl w:ilvl="0" w:tplc="E3D02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1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D1FD3"/>
    <w:rsid w:val="000D7E7B"/>
    <w:rsid w:val="000E3EBB"/>
    <w:rsid w:val="000F4D59"/>
    <w:rsid w:val="000F6609"/>
    <w:rsid w:val="000F7894"/>
    <w:rsid w:val="00101B41"/>
    <w:rsid w:val="001114DD"/>
    <w:rsid w:val="00124ED7"/>
    <w:rsid w:val="00145531"/>
    <w:rsid w:val="00147B10"/>
    <w:rsid w:val="00150D6D"/>
    <w:rsid w:val="00153088"/>
    <w:rsid w:val="00162DA2"/>
    <w:rsid w:val="00163548"/>
    <w:rsid w:val="001716D5"/>
    <w:rsid w:val="00174099"/>
    <w:rsid w:val="00180F9E"/>
    <w:rsid w:val="001A30EB"/>
    <w:rsid w:val="001C4B89"/>
    <w:rsid w:val="001D3914"/>
    <w:rsid w:val="001E1FFC"/>
    <w:rsid w:val="001E211B"/>
    <w:rsid w:val="0024369E"/>
    <w:rsid w:val="00246FEC"/>
    <w:rsid w:val="00252935"/>
    <w:rsid w:val="0025341D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775D"/>
    <w:rsid w:val="002B595D"/>
    <w:rsid w:val="002C5BCA"/>
    <w:rsid w:val="002C6172"/>
    <w:rsid w:val="002D0B69"/>
    <w:rsid w:val="002E3B5F"/>
    <w:rsid w:val="002E410D"/>
    <w:rsid w:val="002E6D49"/>
    <w:rsid w:val="002F0BC6"/>
    <w:rsid w:val="0030189D"/>
    <w:rsid w:val="00302306"/>
    <w:rsid w:val="00303C3D"/>
    <w:rsid w:val="00312E7F"/>
    <w:rsid w:val="00326F38"/>
    <w:rsid w:val="0034264D"/>
    <w:rsid w:val="00342ACB"/>
    <w:rsid w:val="00342BA2"/>
    <w:rsid w:val="003432C1"/>
    <w:rsid w:val="003466A8"/>
    <w:rsid w:val="0035131C"/>
    <w:rsid w:val="00356465"/>
    <w:rsid w:val="00360143"/>
    <w:rsid w:val="00364BA8"/>
    <w:rsid w:val="00371A5B"/>
    <w:rsid w:val="003B3B9C"/>
    <w:rsid w:val="003B4CD5"/>
    <w:rsid w:val="003C26DA"/>
    <w:rsid w:val="003C67FD"/>
    <w:rsid w:val="003D103D"/>
    <w:rsid w:val="003D35D4"/>
    <w:rsid w:val="00416F47"/>
    <w:rsid w:val="0043335F"/>
    <w:rsid w:val="004449DD"/>
    <w:rsid w:val="00456137"/>
    <w:rsid w:val="00461518"/>
    <w:rsid w:val="00490DD4"/>
    <w:rsid w:val="004C0963"/>
    <w:rsid w:val="004C2E76"/>
    <w:rsid w:val="004D49AD"/>
    <w:rsid w:val="004E3813"/>
    <w:rsid w:val="00506FEE"/>
    <w:rsid w:val="005101EB"/>
    <w:rsid w:val="0051135A"/>
    <w:rsid w:val="00512BF1"/>
    <w:rsid w:val="00515132"/>
    <w:rsid w:val="00534829"/>
    <w:rsid w:val="005475BA"/>
    <w:rsid w:val="0054762F"/>
    <w:rsid w:val="005536D4"/>
    <w:rsid w:val="005634FC"/>
    <w:rsid w:val="00596A38"/>
    <w:rsid w:val="005A3ABC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56AFF"/>
    <w:rsid w:val="00666F13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25CC1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718"/>
    <w:rsid w:val="00790FB0"/>
    <w:rsid w:val="00793156"/>
    <w:rsid w:val="00793443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3C44"/>
    <w:rsid w:val="00815975"/>
    <w:rsid w:val="00817FF5"/>
    <w:rsid w:val="00820058"/>
    <w:rsid w:val="00831D99"/>
    <w:rsid w:val="00840C1B"/>
    <w:rsid w:val="008413E5"/>
    <w:rsid w:val="00852BB4"/>
    <w:rsid w:val="00854B80"/>
    <w:rsid w:val="00886FBE"/>
    <w:rsid w:val="00891CD9"/>
    <w:rsid w:val="008A7ECA"/>
    <w:rsid w:val="008B03BD"/>
    <w:rsid w:val="008B7FF2"/>
    <w:rsid w:val="008C557B"/>
    <w:rsid w:val="008D2DCB"/>
    <w:rsid w:val="008E39C6"/>
    <w:rsid w:val="008F1B62"/>
    <w:rsid w:val="009016BA"/>
    <w:rsid w:val="009031EC"/>
    <w:rsid w:val="009147EE"/>
    <w:rsid w:val="00921382"/>
    <w:rsid w:val="00926E3C"/>
    <w:rsid w:val="00933692"/>
    <w:rsid w:val="00951854"/>
    <w:rsid w:val="00954BF2"/>
    <w:rsid w:val="0097101B"/>
    <w:rsid w:val="009802CB"/>
    <w:rsid w:val="009812F3"/>
    <w:rsid w:val="00990493"/>
    <w:rsid w:val="00992237"/>
    <w:rsid w:val="009963D7"/>
    <w:rsid w:val="009A4B8C"/>
    <w:rsid w:val="009A6C97"/>
    <w:rsid w:val="009A7FC8"/>
    <w:rsid w:val="009B6BA1"/>
    <w:rsid w:val="009C755F"/>
    <w:rsid w:val="009D363A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56865"/>
    <w:rsid w:val="00A62AA5"/>
    <w:rsid w:val="00AA202B"/>
    <w:rsid w:val="00AB1190"/>
    <w:rsid w:val="00AB2D48"/>
    <w:rsid w:val="00AB2E0B"/>
    <w:rsid w:val="00AE7690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2121"/>
    <w:rsid w:val="00BA7216"/>
    <w:rsid w:val="00BA7E93"/>
    <w:rsid w:val="00BB0D5C"/>
    <w:rsid w:val="00BB7091"/>
    <w:rsid w:val="00BB7E42"/>
    <w:rsid w:val="00BC06C1"/>
    <w:rsid w:val="00BD1016"/>
    <w:rsid w:val="00BD6398"/>
    <w:rsid w:val="00BD69BD"/>
    <w:rsid w:val="00C030AD"/>
    <w:rsid w:val="00C107CE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7470"/>
    <w:rsid w:val="00C82353"/>
    <w:rsid w:val="00C8571C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22D2E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E7B2C"/>
    <w:rsid w:val="00DF122B"/>
    <w:rsid w:val="00DF54CB"/>
    <w:rsid w:val="00E03535"/>
    <w:rsid w:val="00E04756"/>
    <w:rsid w:val="00E22645"/>
    <w:rsid w:val="00E247CD"/>
    <w:rsid w:val="00E37660"/>
    <w:rsid w:val="00E4001C"/>
    <w:rsid w:val="00E460C7"/>
    <w:rsid w:val="00E50F90"/>
    <w:rsid w:val="00E60FA2"/>
    <w:rsid w:val="00E6534B"/>
    <w:rsid w:val="00E65A52"/>
    <w:rsid w:val="00E7115A"/>
    <w:rsid w:val="00E774E8"/>
    <w:rsid w:val="00EA05BA"/>
    <w:rsid w:val="00EB1588"/>
    <w:rsid w:val="00EB2709"/>
    <w:rsid w:val="00EB7B04"/>
    <w:rsid w:val="00EC48DB"/>
    <w:rsid w:val="00EC51F2"/>
    <w:rsid w:val="00EC61C5"/>
    <w:rsid w:val="00ED4C88"/>
    <w:rsid w:val="00ED7025"/>
    <w:rsid w:val="00F030F6"/>
    <w:rsid w:val="00F505E5"/>
    <w:rsid w:val="00F5781B"/>
    <w:rsid w:val="00F60925"/>
    <w:rsid w:val="00F63924"/>
    <w:rsid w:val="00F71C59"/>
    <w:rsid w:val="00F82101"/>
    <w:rsid w:val="00F85435"/>
    <w:rsid w:val="00FA052F"/>
    <w:rsid w:val="00FA11C9"/>
    <w:rsid w:val="00FA7CC7"/>
    <w:rsid w:val="00FC3C85"/>
    <w:rsid w:val="00FC5DEB"/>
    <w:rsid w:val="00FD33AC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14EE-CF06-491E-AD66-B86BD149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11</cp:revision>
  <cp:lastPrinted>2023-02-22T07:11:00Z</cp:lastPrinted>
  <dcterms:created xsi:type="dcterms:W3CDTF">2023-02-21T11:07:00Z</dcterms:created>
  <dcterms:modified xsi:type="dcterms:W3CDTF">2023-02-22T07:35:00Z</dcterms:modified>
</cp:coreProperties>
</file>